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93" w:rsidRDefault="002A6E1F" w:rsidP="00F33593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59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 xml:space="preserve">Dunakeszi Város Önkormányzata Képviselő-testületének </w:t>
      </w:r>
      <w:r w:rsidR="00AB076C" w:rsidRPr="00F3359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3</w:t>
      </w:r>
      <w:r w:rsidR="007D1C1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2</w:t>
      </w:r>
      <w:r w:rsidRPr="00F3359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/2020. (</w:t>
      </w:r>
      <w:r w:rsidR="00AF36CE" w:rsidRPr="00F3359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V</w:t>
      </w:r>
      <w:r w:rsidR="00236641" w:rsidRPr="00F3359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I</w:t>
      </w:r>
      <w:r w:rsidR="00BD5D78" w:rsidRPr="00F3359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I</w:t>
      </w:r>
      <w:r w:rsidRPr="00F3359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.</w:t>
      </w:r>
      <w:r w:rsidR="00653380" w:rsidRPr="00F3359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3</w:t>
      </w:r>
      <w:r w:rsidR="00BD5D78" w:rsidRPr="00F3359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1</w:t>
      </w:r>
      <w:r w:rsidRPr="00F3359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 xml:space="preserve">.) számú önkormányzati rendelete </w:t>
      </w:r>
      <w:r w:rsidR="00F33593" w:rsidRPr="00F33593">
        <w:rPr>
          <w:rFonts w:ascii="Times New Roman" w:hAnsi="Times New Roman" w:cs="Times New Roman"/>
          <w:b/>
          <w:bCs/>
          <w:sz w:val="24"/>
          <w:szCs w:val="24"/>
        </w:rPr>
        <w:t>a forgalomlassító eszközök kihelyezésének szabályairól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Pr="00F33593" w:rsidRDefault="00F33593" w:rsidP="00F33593">
      <w:pPr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>Dunakeszi Város Önkormányzatának Képviselő-testülete az Alaptörvény 32. cikk (2) bekezdésében meghatározott eredeti jogalkotói hatáskörében, az Alaptörvény 32. cikk (1) bekezdés a) pontjában és a Magyarország helyi önkormányzatairól szóló 2011. évi CLXXXIX. törvény 10. § (2) bekezdésében meghatározott feladatkörében eljárva a következőket rendeli el: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593">
        <w:rPr>
          <w:rFonts w:ascii="Times New Roman" w:hAnsi="Times New Roman" w:cs="Times New Roman"/>
          <w:b/>
          <w:sz w:val="24"/>
          <w:szCs w:val="24"/>
        </w:rPr>
        <w:t>I. fejezet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593"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593">
        <w:rPr>
          <w:rFonts w:ascii="Times New Roman" w:hAnsi="Times New Roman" w:cs="Times New Roman"/>
          <w:b/>
          <w:bCs/>
          <w:sz w:val="24"/>
          <w:szCs w:val="24"/>
        </w:rPr>
        <w:t>1. §</w:t>
      </w:r>
    </w:p>
    <w:p w:rsidR="00F33593" w:rsidRPr="00F33593" w:rsidRDefault="00F33593" w:rsidP="00F33593">
      <w:pPr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 xml:space="preserve">E rendelet célja a Dunakeszi városában a </w:t>
      </w:r>
      <w:proofErr w:type="gramStart"/>
      <w:r w:rsidRPr="00F33593">
        <w:rPr>
          <w:rFonts w:ascii="Times New Roman" w:hAnsi="Times New Roman" w:cs="Times New Roman"/>
          <w:sz w:val="24"/>
          <w:szCs w:val="24"/>
        </w:rPr>
        <w:t>forgalom lassító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 xml:space="preserve"> eszközök kihelyezésének szabályozása oly módon, hogy az összhangban legyen az érintett lakosság igényeivel és a város közúti közlekedési forgalmának optimális megszervezésével.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593"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33593">
        <w:rPr>
          <w:rFonts w:ascii="Times New Roman" w:hAnsi="Times New Roman" w:cs="Times New Roman"/>
          <w:b/>
          <w:bCs/>
          <w:sz w:val="24"/>
          <w:szCs w:val="24"/>
        </w:rPr>
        <w:t>2. §</w:t>
      </w:r>
    </w:p>
    <w:p w:rsidR="00F33593" w:rsidRPr="00F33593" w:rsidRDefault="00F33593" w:rsidP="00F33593">
      <w:pPr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>A rendelet hatálya valamennyi Dunakeszi közigazgatási területén kihelyezett forgalomlassító eszközre vonatkozik.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593">
        <w:rPr>
          <w:rFonts w:ascii="Times New Roman" w:hAnsi="Times New Roman" w:cs="Times New Roman"/>
          <w:b/>
          <w:sz w:val="24"/>
          <w:szCs w:val="24"/>
        </w:rPr>
        <w:t>II. fejezet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593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Pr="00F33593">
        <w:rPr>
          <w:rFonts w:ascii="Times New Roman" w:hAnsi="Times New Roman" w:cs="Times New Roman"/>
          <w:b/>
          <w:sz w:val="24"/>
          <w:szCs w:val="24"/>
        </w:rPr>
        <w:t>forgalom lassító</w:t>
      </w:r>
      <w:proofErr w:type="gramEnd"/>
      <w:r w:rsidRPr="00F33593">
        <w:rPr>
          <w:rFonts w:ascii="Times New Roman" w:hAnsi="Times New Roman" w:cs="Times New Roman"/>
          <w:b/>
          <w:sz w:val="24"/>
          <w:szCs w:val="24"/>
        </w:rPr>
        <w:t xml:space="preserve"> eszközök kihelyezésére vonatkozó általános szabályok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33593">
        <w:rPr>
          <w:rFonts w:ascii="Times New Roman" w:hAnsi="Times New Roman" w:cs="Times New Roman"/>
          <w:b/>
          <w:bCs/>
          <w:sz w:val="24"/>
          <w:szCs w:val="24"/>
        </w:rPr>
        <w:t xml:space="preserve">3. § </w:t>
      </w:r>
    </w:p>
    <w:p w:rsidR="00F33593" w:rsidRPr="00F33593" w:rsidRDefault="00F33593" w:rsidP="00F3359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 xml:space="preserve">(1) </w:t>
      </w:r>
      <w:r w:rsidRPr="00F335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33593">
        <w:rPr>
          <w:rFonts w:ascii="Times New Roman" w:hAnsi="Times New Roman" w:cs="Times New Roman"/>
          <w:sz w:val="24"/>
          <w:szCs w:val="24"/>
        </w:rPr>
        <w:t>Forgalom lassító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 xml:space="preserve"> eszközök kihelyezésére a város alábbi pontjain van lehetőség:</w:t>
      </w:r>
    </w:p>
    <w:p w:rsidR="00F33593" w:rsidRPr="00F33593" w:rsidRDefault="00F33593" w:rsidP="00F33593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5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 xml:space="preserve">) közlekedésbiztonság szempontjából kiemelkedő intézmény, ingatlan indokolja, így különösen közintézmények, termelő, szolgáltató, vagy kereskedelmi egység), </w:t>
      </w:r>
    </w:p>
    <w:p w:rsidR="00F33593" w:rsidRPr="00F33593" w:rsidRDefault="00F33593" w:rsidP="00F33593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 xml:space="preserve">b) gyalogos forgalom szempontjából kiemelkedő a terhelés, így különösen Duna-part, szabadidő parkok, </w:t>
      </w:r>
    </w:p>
    <w:p w:rsidR="00F33593" w:rsidRPr="00F33593" w:rsidRDefault="00F33593" w:rsidP="00F33593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>c) ha a Rendőrség vagy a Városüzemeltetési osztály ezt a korábbi tapasztalatok, események, lakosság igények alapján javasolja.</w:t>
      </w:r>
    </w:p>
    <w:p w:rsidR="00F33593" w:rsidRPr="00F33593" w:rsidRDefault="00F33593" w:rsidP="00F3359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ab/>
      </w:r>
    </w:p>
    <w:p w:rsidR="00F33593" w:rsidRPr="00F33593" w:rsidRDefault="00F33593" w:rsidP="00F3359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 xml:space="preserve">(2) </w:t>
      </w:r>
      <w:r w:rsidRPr="00F335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33593">
        <w:rPr>
          <w:rFonts w:ascii="Times New Roman" w:hAnsi="Times New Roman" w:cs="Times New Roman"/>
          <w:sz w:val="24"/>
          <w:szCs w:val="24"/>
        </w:rPr>
        <w:t>Forgalom lassító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 xml:space="preserve"> eszközök kihelyezését az önkormányzat az alábbi helyeken nem támogatja:</w:t>
      </w:r>
    </w:p>
    <w:p w:rsidR="00F33593" w:rsidRPr="00F33593" w:rsidRDefault="00F33593" w:rsidP="00F33593">
      <w:pPr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5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>) e rendelet 1. melléklete szerinti gyűjtőutakon</w:t>
      </w:r>
    </w:p>
    <w:p w:rsidR="00F33593" w:rsidRPr="00F33593" w:rsidRDefault="00F33593" w:rsidP="00F33593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>b) ahol van legalább az út egyik oldalán járda, vagy a gyalogosok számára nem áll rendelkezésre az útpályától elválasztva legalább 1 méter széles hely a biztonságos közlekedésre,</w:t>
      </w:r>
    </w:p>
    <w:p w:rsidR="00F33593" w:rsidRPr="00F33593" w:rsidRDefault="00F33593" w:rsidP="00F33593">
      <w:pPr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>c) egyirányú út esetén 3,5 méter vagy annál szélesebb útpálya esetén,</w:t>
      </w:r>
    </w:p>
    <w:p w:rsidR="00F33593" w:rsidRPr="00F33593" w:rsidRDefault="00F33593" w:rsidP="00F33593">
      <w:pPr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gramStart"/>
      <w:r w:rsidRPr="00F33593">
        <w:rPr>
          <w:rFonts w:ascii="Times New Roman" w:hAnsi="Times New Roman" w:cs="Times New Roman"/>
          <w:sz w:val="24"/>
          <w:szCs w:val="24"/>
        </w:rPr>
        <w:t>két irányú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 xml:space="preserve"> út esetén 5 méter vagy annál szélesebb útpálya esetén,</w:t>
      </w:r>
    </w:p>
    <w:p w:rsidR="00F33593" w:rsidRPr="00F33593" w:rsidRDefault="00F33593" w:rsidP="00F33593">
      <w:pPr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59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>) zsákutcában,</w:t>
      </w:r>
    </w:p>
    <w:p w:rsidR="00F33593" w:rsidRPr="00F33593" w:rsidRDefault="00F33593" w:rsidP="00F33593">
      <w:pPr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593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>) körforgalomban,</w:t>
      </w:r>
    </w:p>
    <w:p w:rsidR="00F33593" w:rsidRPr="00F33593" w:rsidRDefault="00F33593" w:rsidP="00F33593">
      <w:pPr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59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>) menetrend szerint közlekedő buszjárat útvonalába eső úton.</w:t>
      </w:r>
    </w:p>
    <w:p w:rsidR="00F33593" w:rsidRPr="00F33593" w:rsidRDefault="00F33593" w:rsidP="00F3359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 xml:space="preserve">(3) </w:t>
      </w:r>
      <w:r w:rsidRPr="00F33593">
        <w:rPr>
          <w:rFonts w:ascii="Times New Roman" w:hAnsi="Times New Roman" w:cs="Times New Roman"/>
          <w:sz w:val="24"/>
          <w:szCs w:val="24"/>
        </w:rPr>
        <w:tab/>
        <w:t xml:space="preserve">A (2) ponttól eltérően sebességkorlátozó tábla, mint </w:t>
      </w:r>
      <w:proofErr w:type="gramStart"/>
      <w:r w:rsidRPr="00F33593">
        <w:rPr>
          <w:rFonts w:ascii="Times New Roman" w:hAnsi="Times New Roman" w:cs="Times New Roman"/>
          <w:sz w:val="24"/>
          <w:szCs w:val="24"/>
        </w:rPr>
        <w:t>forgalom lassító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 xml:space="preserve"> eszközök kihelyezését az önkormányzat az alábbi helyeken nem támogatja:</w:t>
      </w:r>
    </w:p>
    <w:p w:rsidR="00F33593" w:rsidRPr="00F33593" w:rsidRDefault="00F33593" w:rsidP="00F33593">
      <w:pPr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5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>) e rendelet 1. melléklete szerinti gyűjtőutakon</w:t>
      </w:r>
    </w:p>
    <w:p w:rsidR="00F33593" w:rsidRPr="00F33593" w:rsidRDefault="00F33593" w:rsidP="00F33593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 xml:space="preserve">b) ahol van legalább az út egyik oldalán járda, vagy nem áll rendelkezésre a gyalogosok számára az útpályától elválasztva legalább 1 méter széles hely a biztonságos közlekedésre, </w:t>
      </w:r>
      <w:proofErr w:type="gramStart"/>
      <w:r w:rsidRPr="00F33593">
        <w:rPr>
          <w:rFonts w:ascii="Times New Roman" w:hAnsi="Times New Roman" w:cs="Times New Roman"/>
          <w:sz w:val="24"/>
          <w:szCs w:val="24"/>
        </w:rPr>
        <w:t>kivéve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 xml:space="preserve"> ha egyirányú út esetén az útpálya 3,5 méter vagy annál keskenyebb, vagy két irányú út esetén az útpálya 5,5 méter vagy annál keskenyebb,</w:t>
      </w:r>
    </w:p>
    <w:p w:rsidR="00F33593" w:rsidRPr="00F33593" w:rsidRDefault="00F33593" w:rsidP="00F33593">
      <w:pPr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59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>) zsákutcában,</w:t>
      </w:r>
    </w:p>
    <w:p w:rsidR="00F33593" w:rsidRPr="00F33593" w:rsidRDefault="00F33593" w:rsidP="00F33593">
      <w:pPr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59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F33593">
        <w:rPr>
          <w:rFonts w:ascii="Times New Roman" w:hAnsi="Times New Roman" w:cs="Times New Roman"/>
          <w:sz w:val="24"/>
          <w:szCs w:val="24"/>
        </w:rPr>
        <w:t>) menetrend szerint közlekedő buszjárat útvonalába eső úton.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593">
        <w:rPr>
          <w:rFonts w:ascii="Times New Roman" w:hAnsi="Times New Roman" w:cs="Times New Roman"/>
          <w:b/>
          <w:sz w:val="24"/>
          <w:szCs w:val="24"/>
        </w:rPr>
        <w:t>III. fejezet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593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Pr="00F33593">
        <w:rPr>
          <w:rFonts w:ascii="Times New Roman" w:hAnsi="Times New Roman" w:cs="Times New Roman"/>
          <w:b/>
          <w:sz w:val="24"/>
          <w:szCs w:val="24"/>
        </w:rPr>
        <w:t>forgalom lassító</w:t>
      </w:r>
      <w:proofErr w:type="gramEnd"/>
      <w:r w:rsidRPr="00F33593">
        <w:rPr>
          <w:rFonts w:ascii="Times New Roman" w:hAnsi="Times New Roman" w:cs="Times New Roman"/>
          <w:b/>
          <w:sz w:val="24"/>
          <w:szCs w:val="24"/>
        </w:rPr>
        <w:t xml:space="preserve"> küszöb kihelyezésére vonatkozó különös szabályok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593">
        <w:rPr>
          <w:rFonts w:ascii="Times New Roman" w:hAnsi="Times New Roman" w:cs="Times New Roman"/>
          <w:b/>
          <w:bCs/>
          <w:sz w:val="24"/>
          <w:szCs w:val="24"/>
        </w:rPr>
        <w:t xml:space="preserve">4. § </w:t>
      </w:r>
    </w:p>
    <w:p w:rsidR="00F33593" w:rsidRPr="00F33593" w:rsidRDefault="00F33593" w:rsidP="00F3359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>(1)</w:t>
      </w:r>
      <w:r w:rsidRPr="00F33593">
        <w:rPr>
          <w:rFonts w:ascii="Times New Roman" w:hAnsi="Times New Roman" w:cs="Times New Roman"/>
          <w:sz w:val="24"/>
          <w:szCs w:val="24"/>
        </w:rPr>
        <w:tab/>
      </w:r>
      <w:r w:rsidRPr="00F335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F33593">
        <w:rPr>
          <w:rFonts w:ascii="Times New Roman" w:hAnsi="Times New Roman" w:cs="Times New Roman"/>
          <w:sz w:val="24"/>
          <w:szCs w:val="24"/>
        </w:rPr>
        <w:t>f</w:t>
      </w:r>
      <w:r w:rsidRPr="00F33593">
        <w:rPr>
          <w:rFonts w:ascii="Times New Roman" w:hAnsi="Times New Roman" w:cs="Times New Roman"/>
          <w:color w:val="000000"/>
          <w:sz w:val="24"/>
          <w:szCs w:val="24"/>
        </w:rPr>
        <w:t xml:space="preserve">orgalom lassító küszöb, mint forgalom lassító eszköz kihelyezésének feltétele, hogy a tervezett eszköz 100 méteres körzetén belül élő </w:t>
      </w:r>
      <w:r w:rsidRPr="00F33593">
        <w:rPr>
          <w:rFonts w:ascii="Times New Roman" w:hAnsi="Times New Roman" w:cs="Times New Roman"/>
          <w:sz w:val="24"/>
          <w:szCs w:val="24"/>
        </w:rPr>
        <w:t xml:space="preserve">cselekvőképes </w:t>
      </w:r>
      <w:r w:rsidRPr="00F33593">
        <w:rPr>
          <w:rFonts w:ascii="Times New Roman" w:hAnsi="Times New Roman" w:cs="Times New Roman"/>
          <w:color w:val="000000"/>
          <w:sz w:val="24"/>
          <w:szCs w:val="24"/>
        </w:rPr>
        <w:t xml:space="preserve">magánszemélyek, </w:t>
      </w:r>
      <w:r w:rsidRPr="00F33593">
        <w:rPr>
          <w:rFonts w:ascii="Times New Roman" w:hAnsi="Times New Roman" w:cs="Times New Roman"/>
          <w:sz w:val="24"/>
          <w:szCs w:val="24"/>
        </w:rPr>
        <w:t xml:space="preserve">vagy </w:t>
      </w:r>
      <w:r w:rsidRPr="00F33593">
        <w:rPr>
          <w:rFonts w:ascii="Times New Roman" w:hAnsi="Times New Roman" w:cs="Times New Roman"/>
          <w:color w:val="000000"/>
          <w:sz w:val="24"/>
          <w:szCs w:val="24"/>
        </w:rPr>
        <w:t>ingatlan tulajdonosok 90%-</w:t>
      </w:r>
      <w:proofErr w:type="spellStart"/>
      <w:r w:rsidRPr="00F33593">
        <w:rPr>
          <w:rFonts w:ascii="Times New Roman" w:hAnsi="Times New Roman" w:cs="Times New Roman"/>
          <w:color w:val="000000"/>
          <w:sz w:val="24"/>
          <w:szCs w:val="24"/>
        </w:rPr>
        <w:t>ának</w:t>
      </w:r>
      <w:proofErr w:type="spellEnd"/>
      <w:r w:rsidRPr="00F33593">
        <w:rPr>
          <w:rFonts w:ascii="Times New Roman" w:hAnsi="Times New Roman" w:cs="Times New Roman"/>
          <w:color w:val="000000"/>
          <w:sz w:val="24"/>
          <w:szCs w:val="24"/>
        </w:rPr>
        <w:t xml:space="preserve"> írásos beleegyező nyilatkozatának megléte, </w:t>
      </w:r>
      <w:proofErr w:type="gramStart"/>
      <w:r w:rsidRPr="00F33593">
        <w:rPr>
          <w:rFonts w:ascii="Times New Roman" w:hAnsi="Times New Roman" w:cs="Times New Roman"/>
          <w:color w:val="000000"/>
          <w:sz w:val="24"/>
          <w:szCs w:val="24"/>
        </w:rPr>
        <w:t>ezen</w:t>
      </w:r>
      <w:proofErr w:type="gramEnd"/>
      <w:r w:rsidRPr="00F33593">
        <w:rPr>
          <w:rFonts w:ascii="Times New Roman" w:hAnsi="Times New Roman" w:cs="Times New Roman"/>
          <w:color w:val="000000"/>
          <w:sz w:val="24"/>
          <w:szCs w:val="24"/>
        </w:rPr>
        <w:t xml:space="preserve"> nyilatkozatokat a Lakosságszolgálati osztály részére benyújtott kérelemhez mellékelni kell. A 100 méteres körzetbe a szomszédos utcák nem tartoznak bele. </w:t>
      </w:r>
      <w:r w:rsidRPr="00F33593">
        <w:rPr>
          <w:rFonts w:ascii="Times New Roman" w:hAnsi="Times New Roman" w:cs="Times New Roman"/>
          <w:sz w:val="24"/>
          <w:szCs w:val="24"/>
        </w:rPr>
        <w:t xml:space="preserve">Társasházak esetén a közös képviselőnek kell nyilatkozni. </w:t>
      </w: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F33593">
        <w:rPr>
          <w:rFonts w:ascii="Times New Roman" w:hAnsi="Times New Roman" w:cs="Times New Roman"/>
        </w:rPr>
        <w:t xml:space="preserve">(2) </w:t>
      </w:r>
      <w:r w:rsidRPr="00F33593">
        <w:rPr>
          <w:rFonts w:ascii="Times New Roman" w:hAnsi="Times New Roman" w:cs="Times New Roman"/>
        </w:rPr>
        <w:tab/>
        <w:t xml:space="preserve">A kérelemhez mellékelni kell egy térképvázlatot, amelyen a kérelmező megjelöli azt a helyet, ahol a </w:t>
      </w:r>
      <w:proofErr w:type="gramStart"/>
      <w:r w:rsidRPr="00F33593">
        <w:rPr>
          <w:rFonts w:ascii="Times New Roman" w:hAnsi="Times New Roman" w:cs="Times New Roman"/>
        </w:rPr>
        <w:t>forgalom lassító</w:t>
      </w:r>
      <w:proofErr w:type="gramEnd"/>
      <w:r w:rsidRPr="00F33593">
        <w:rPr>
          <w:rFonts w:ascii="Times New Roman" w:hAnsi="Times New Roman" w:cs="Times New Roman"/>
        </w:rPr>
        <w:t xml:space="preserve"> eszköz elhelyezését </w:t>
      </w:r>
      <w:proofErr w:type="spellStart"/>
      <w:r w:rsidRPr="00F33593">
        <w:rPr>
          <w:rFonts w:ascii="Times New Roman" w:hAnsi="Times New Roman" w:cs="Times New Roman"/>
        </w:rPr>
        <w:t>legoptimálisabbanak</w:t>
      </w:r>
      <w:proofErr w:type="spellEnd"/>
      <w:r w:rsidRPr="00F33593">
        <w:rPr>
          <w:rFonts w:ascii="Times New Roman" w:hAnsi="Times New Roman" w:cs="Times New Roman"/>
        </w:rPr>
        <w:t xml:space="preserve"> véli.</w:t>
      </w: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F33593">
        <w:rPr>
          <w:rFonts w:ascii="Times New Roman" w:hAnsi="Times New Roman" w:cs="Times New Roman"/>
        </w:rPr>
        <w:t xml:space="preserve">(3) </w:t>
      </w:r>
      <w:r w:rsidRPr="00F33593">
        <w:rPr>
          <w:rFonts w:ascii="Times New Roman" w:hAnsi="Times New Roman" w:cs="Times New Roman"/>
        </w:rPr>
        <w:tab/>
        <w:t xml:space="preserve">A Városüzemeltetési osztály a Rendőrség szükség szerinti bevonásával a helyszínt megvizsgálja, amelyet annak megfelelősége esetén jóváhagy, vagy amennyiben azt szakmai, illetve jogszabályi előírások indokolják, helyette új helyszínt javasol. </w:t>
      </w: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F33593">
        <w:rPr>
          <w:rFonts w:ascii="Times New Roman" w:hAnsi="Times New Roman" w:cs="Times New Roman"/>
        </w:rPr>
        <w:t xml:space="preserve">(4) </w:t>
      </w:r>
      <w:r w:rsidRPr="00F33593">
        <w:rPr>
          <w:rFonts w:ascii="Times New Roman" w:hAnsi="Times New Roman" w:cs="Times New Roman"/>
        </w:rPr>
        <w:tab/>
        <w:t>Az eszköz javasolt végleges helyének ismeretében be kell szerezni a közvetlenül érintett, a közvetlenül az eszközök mellett lévő ingatlanok tulajdonosainak, vagy az ott élő cselekvőképes magánszemélyek írásos nyilatkozatát, amelyben az eszköz elhelyezésének pontos helyével, a használatából adódó zajhatással egyetértenek, azt elfogadják.</w:t>
      </w:r>
    </w:p>
    <w:p w:rsidR="00F33593" w:rsidRPr="00F33593" w:rsidRDefault="00F33593" w:rsidP="00F33593">
      <w:pPr>
        <w:pStyle w:val="Default"/>
        <w:jc w:val="both"/>
        <w:rPr>
          <w:rFonts w:ascii="Times New Roman" w:hAnsi="Times New Roman" w:cs="Times New Roman"/>
        </w:rPr>
      </w:pP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F33593">
        <w:rPr>
          <w:rFonts w:ascii="Times New Roman" w:hAnsi="Times New Roman" w:cs="Times New Roman"/>
        </w:rPr>
        <w:t xml:space="preserve">(5) </w:t>
      </w:r>
      <w:r w:rsidRPr="00F33593">
        <w:rPr>
          <w:rFonts w:ascii="Times New Roman" w:hAnsi="Times New Roman" w:cs="Times New Roman"/>
        </w:rPr>
        <w:tab/>
        <w:t>Az érintett tulajdonosok egyetértő nyilatkozatok birtokában a kérelmező és Dunakeszi Város Önkormányzata megállapodást kötnek, amelyben rendelkezni kell a kihelyezésre kerülő forgalomlassító eszköz megvalósításának költségéről, amelyet a szerződő felek 50-50%-</w:t>
      </w:r>
      <w:proofErr w:type="spellStart"/>
      <w:r w:rsidRPr="00F33593">
        <w:rPr>
          <w:rFonts w:ascii="Times New Roman" w:hAnsi="Times New Roman" w:cs="Times New Roman"/>
        </w:rPr>
        <w:t>os</w:t>
      </w:r>
      <w:proofErr w:type="spellEnd"/>
      <w:r w:rsidRPr="00F33593">
        <w:rPr>
          <w:rFonts w:ascii="Times New Roman" w:hAnsi="Times New Roman" w:cs="Times New Roman"/>
        </w:rPr>
        <w:t xml:space="preserve"> mértékben közösen viselnek. A megállapodásban továbbá rögzíteni kell fizetési feltételeket, az eszköz műszaki tartalmát, annak pontos helyét, és a megvalósítás határidejét. Az eszköz, ami telepítésre kerül az 4cm-es lecsavarozható típus.</w:t>
      </w: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F33593">
        <w:rPr>
          <w:rFonts w:ascii="Times New Roman" w:hAnsi="Times New Roman" w:cs="Times New Roman"/>
        </w:rPr>
        <w:t xml:space="preserve">(6) </w:t>
      </w:r>
      <w:r w:rsidRPr="00F33593">
        <w:rPr>
          <w:rFonts w:ascii="Times New Roman" w:hAnsi="Times New Roman" w:cs="Times New Roman"/>
        </w:rPr>
        <w:tab/>
        <w:t xml:space="preserve">A kérelmezőre eső kivitelezési költség hányadot egy összegben kell megfizetni a megállapodásban megjelölt önkormányzati számlaszámra. </w:t>
      </w: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F33593" w:rsidRPr="00F33593" w:rsidRDefault="00F33593" w:rsidP="00F33593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F33593">
        <w:rPr>
          <w:rFonts w:ascii="Times New Roman" w:hAnsi="Times New Roman" w:cs="Times New Roman"/>
        </w:rPr>
        <w:t>(7) A megállapodásban rögzített összeg önkormányzati számlán történt jóváírását követően az önkormányzata megállapodásban rögzített feltételek mellett megrendeli a munkát és elvégezteti azt.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593">
        <w:rPr>
          <w:rFonts w:ascii="Times New Roman" w:hAnsi="Times New Roman" w:cs="Times New Roman"/>
          <w:b/>
          <w:bCs/>
          <w:sz w:val="24"/>
          <w:szCs w:val="24"/>
        </w:rPr>
        <w:t>IV. Fejezet</w:t>
      </w:r>
    </w:p>
    <w:p w:rsidR="00F33593" w:rsidRPr="00F33593" w:rsidRDefault="00F33593" w:rsidP="00F33593">
      <w:pPr>
        <w:pStyle w:val="NormlWeb"/>
        <w:spacing w:before="0" w:beforeAutospacing="0" w:after="0" w:afterAutospacing="0" w:line="255" w:lineRule="atLeast"/>
        <w:ind w:left="426" w:hanging="426"/>
        <w:jc w:val="center"/>
        <w:rPr>
          <w:b/>
          <w:bCs/>
          <w:color w:val="000000"/>
        </w:rPr>
      </w:pPr>
      <w:r w:rsidRPr="00F33593">
        <w:rPr>
          <w:b/>
          <w:bCs/>
          <w:color w:val="000000"/>
        </w:rPr>
        <w:t>Záró rendelkezések</w:t>
      </w:r>
    </w:p>
    <w:p w:rsidR="00F33593" w:rsidRPr="00F33593" w:rsidRDefault="00F33593" w:rsidP="00F33593">
      <w:pPr>
        <w:pStyle w:val="NormlWeb"/>
        <w:spacing w:before="0" w:beforeAutospacing="0" w:after="0" w:afterAutospacing="0" w:line="255" w:lineRule="atLeast"/>
        <w:ind w:left="426" w:hanging="426"/>
        <w:jc w:val="center"/>
        <w:rPr>
          <w:b/>
          <w:bCs/>
          <w:color w:val="000000"/>
        </w:rPr>
      </w:pPr>
    </w:p>
    <w:p w:rsidR="00F33593" w:rsidRPr="00F33593" w:rsidRDefault="00F33593" w:rsidP="00F33593">
      <w:pPr>
        <w:pStyle w:val="NormlWeb"/>
        <w:spacing w:before="0" w:beforeAutospacing="0" w:after="0" w:afterAutospacing="0" w:line="255" w:lineRule="atLeast"/>
        <w:ind w:left="426" w:hanging="426"/>
        <w:jc w:val="center"/>
        <w:rPr>
          <w:b/>
          <w:bCs/>
          <w:color w:val="000000"/>
        </w:rPr>
      </w:pPr>
      <w:r w:rsidRPr="00F33593">
        <w:rPr>
          <w:b/>
          <w:bCs/>
          <w:color w:val="000000"/>
        </w:rPr>
        <w:t>5.§</w:t>
      </w:r>
    </w:p>
    <w:p w:rsidR="00F33593" w:rsidRPr="00F33593" w:rsidRDefault="00F33593" w:rsidP="00F33593">
      <w:pPr>
        <w:pStyle w:val="NormlWeb"/>
        <w:spacing w:before="0" w:beforeAutospacing="0" w:after="0" w:afterAutospacing="0" w:line="255" w:lineRule="atLeast"/>
        <w:ind w:left="426" w:hanging="426"/>
        <w:jc w:val="both"/>
        <w:rPr>
          <w:color w:val="000000"/>
        </w:rPr>
      </w:pPr>
    </w:p>
    <w:p w:rsidR="00F33593" w:rsidRPr="00F33593" w:rsidRDefault="00F33593" w:rsidP="00F33593">
      <w:pPr>
        <w:pStyle w:val="NormlWeb"/>
        <w:spacing w:before="0" w:beforeAutospacing="0" w:after="0" w:afterAutospacing="0" w:line="255" w:lineRule="atLeast"/>
        <w:jc w:val="both"/>
        <w:rPr>
          <w:color w:val="000000"/>
        </w:rPr>
      </w:pPr>
      <w:r w:rsidRPr="00F33593">
        <w:rPr>
          <w:color w:val="000000"/>
        </w:rPr>
        <w:t xml:space="preserve">Ez a rendelet a kihirdetését követő napon lép hatályba, </w:t>
      </w:r>
      <w:r w:rsidRPr="00F33593">
        <w:t>kihirdetéséről a jegyző a helyben szokásos módon gondoskodik.</w:t>
      </w:r>
    </w:p>
    <w:p w:rsidR="00F33593" w:rsidRPr="00F33593" w:rsidRDefault="00F33593" w:rsidP="00F33593">
      <w:pPr>
        <w:ind w:left="426" w:hanging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0B18" w:rsidRPr="00F33593" w:rsidRDefault="00510B18" w:rsidP="00F335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B18" w:rsidRPr="00F33593" w:rsidRDefault="00510B18" w:rsidP="00510B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73B" w:rsidRPr="00F33593" w:rsidRDefault="00F3373B" w:rsidP="00197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BA0" w:rsidRPr="00F33593" w:rsidRDefault="00152BA0" w:rsidP="00197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73B" w:rsidRPr="00F33593" w:rsidRDefault="00F3373B" w:rsidP="00665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ab/>
      </w:r>
      <w:r w:rsidRPr="00F33593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FF6E87" w:rsidRPr="00F33593">
        <w:rPr>
          <w:rFonts w:ascii="Times New Roman" w:hAnsi="Times New Roman" w:cs="Times New Roman"/>
          <w:b/>
          <w:sz w:val="24"/>
          <w:szCs w:val="24"/>
        </w:rPr>
        <w:t>Molnár György</w:t>
      </w:r>
      <w:r w:rsidRPr="00F33593">
        <w:rPr>
          <w:rFonts w:ascii="Times New Roman" w:hAnsi="Times New Roman" w:cs="Times New Roman"/>
          <w:b/>
          <w:sz w:val="24"/>
          <w:szCs w:val="24"/>
        </w:rPr>
        <w:tab/>
      </w:r>
      <w:r w:rsidRPr="00F33593">
        <w:rPr>
          <w:rFonts w:ascii="Times New Roman" w:hAnsi="Times New Roman" w:cs="Times New Roman"/>
          <w:b/>
          <w:sz w:val="24"/>
          <w:szCs w:val="24"/>
        </w:rPr>
        <w:tab/>
      </w:r>
      <w:r w:rsidRPr="00F33593">
        <w:rPr>
          <w:rFonts w:ascii="Times New Roman" w:hAnsi="Times New Roman" w:cs="Times New Roman"/>
          <w:b/>
          <w:sz w:val="24"/>
          <w:szCs w:val="24"/>
        </w:rPr>
        <w:tab/>
      </w:r>
      <w:r w:rsidRPr="00F33593">
        <w:rPr>
          <w:rFonts w:ascii="Times New Roman" w:hAnsi="Times New Roman" w:cs="Times New Roman"/>
          <w:b/>
          <w:sz w:val="24"/>
          <w:szCs w:val="24"/>
        </w:rPr>
        <w:tab/>
      </w:r>
      <w:r w:rsidR="00BD18C3" w:rsidRPr="00F33593">
        <w:rPr>
          <w:rFonts w:ascii="Times New Roman" w:hAnsi="Times New Roman" w:cs="Times New Roman"/>
          <w:b/>
          <w:sz w:val="24"/>
          <w:szCs w:val="24"/>
        </w:rPr>
        <w:tab/>
      </w:r>
      <w:r w:rsidRPr="00F33593">
        <w:rPr>
          <w:rFonts w:ascii="Times New Roman" w:hAnsi="Times New Roman" w:cs="Times New Roman"/>
          <w:b/>
          <w:sz w:val="24"/>
          <w:szCs w:val="24"/>
        </w:rPr>
        <w:tab/>
        <w:t>Dióssi Csaba</w:t>
      </w:r>
    </w:p>
    <w:p w:rsidR="00F3373B" w:rsidRPr="00F33593" w:rsidRDefault="00516236" w:rsidP="00665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gramStart"/>
      <w:r w:rsidRPr="00F33593">
        <w:rPr>
          <w:rFonts w:ascii="Times New Roman" w:hAnsi="Times New Roman" w:cs="Times New Roman"/>
          <w:b/>
          <w:sz w:val="24"/>
          <w:szCs w:val="24"/>
        </w:rPr>
        <w:t>jegyző</w:t>
      </w:r>
      <w:proofErr w:type="gramEnd"/>
      <w:r w:rsidRPr="00F33593">
        <w:rPr>
          <w:rFonts w:ascii="Times New Roman" w:hAnsi="Times New Roman" w:cs="Times New Roman"/>
          <w:b/>
          <w:sz w:val="24"/>
          <w:szCs w:val="24"/>
        </w:rPr>
        <w:tab/>
      </w:r>
      <w:r w:rsidRPr="00F33593">
        <w:rPr>
          <w:rFonts w:ascii="Times New Roman" w:hAnsi="Times New Roman" w:cs="Times New Roman"/>
          <w:b/>
          <w:sz w:val="24"/>
          <w:szCs w:val="24"/>
        </w:rPr>
        <w:tab/>
      </w:r>
      <w:r w:rsidRPr="00F33593">
        <w:rPr>
          <w:rFonts w:ascii="Times New Roman" w:hAnsi="Times New Roman" w:cs="Times New Roman"/>
          <w:b/>
          <w:sz w:val="24"/>
          <w:szCs w:val="24"/>
        </w:rPr>
        <w:tab/>
      </w:r>
      <w:r w:rsidRPr="00F33593">
        <w:rPr>
          <w:rFonts w:ascii="Times New Roman" w:hAnsi="Times New Roman" w:cs="Times New Roman"/>
          <w:b/>
          <w:sz w:val="24"/>
          <w:szCs w:val="24"/>
        </w:rPr>
        <w:tab/>
      </w:r>
      <w:r w:rsidRPr="00F33593">
        <w:rPr>
          <w:rFonts w:ascii="Times New Roman" w:hAnsi="Times New Roman" w:cs="Times New Roman"/>
          <w:b/>
          <w:sz w:val="24"/>
          <w:szCs w:val="24"/>
        </w:rPr>
        <w:tab/>
      </w:r>
      <w:r w:rsidRPr="00F33593">
        <w:rPr>
          <w:rFonts w:ascii="Times New Roman" w:hAnsi="Times New Roman" w:cs="Times New Roman"/>
          <w:b/>
          <w:sz w:val="24"/>
          <w:szCs w:val="24"/>
        </w:rPr>
        <w:tab/>
      </w:r>
      <w:r w:rsidR="00BD18C3" w:rsidRPr="00F33593">
        <w:rPr>
          <w:rFonts w:ascii="Times New Roman" w:hAnsi="Times New Roman" w:cs="Times New Roman"/>
          <w:b/>
          <w:sz w:val="24"/>
          <w:szCs w:val="24"/>
        </w:rPr>
        <w:tab/>
      </w:r>
      <w:r w:rsidR="00F3373B" w:rsidRPr="00F33593">
        <w:rPr>
          <w:rFonts w:ascii="Times New Roman" w:hAnsi="Times New Roman" w:cs="Times New Roman"/>
          <w:b/>
          <w:sz w:val="24"/>
          <w:szCs w:val="24"/>
        </w:rPr>
        <w:t>polgármeste</w:t>
      </w:r>
      <w:r w:rsidR="00F3373B" w:rsidRPr="00F33593">
        <w:rPr>
          <w:rFonts w:ascii="Times New Roman" w:hAnsi="Times New Roman" w:cs="Times New Roman"/>
          <w:sz w:val="24"/>
          <w:szCs w:val="24"/>
        </w:rPr>
        <w:t>r</w:t>
      </w:r>
    </w:p>
    <w:p w:rsidR="00F3373B" w:rsidRPr="00F33593" w:rsidRDefault="00F3373B" w:rsidP="00F337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73B" w:rsidRPr="00F33593" w:rsidRDefault="00F3373B" w:rsidP="00852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593">
        <w:rPr>
          <w:rFonts w:ascii="Times New Roman" w:hAnsi="Times New Roman" w:cs="Times New Roman"/>
          <w:sz w:val="24"/>
          <w:szCs w:val="24"/>
          <w:u w:val="single"/>
        </w:rPr>
        <w:t>Kihirdetési záradék:</w:t>
      </w:r>
    </w:p>
    <w:p w:rsidR="00F3373B" w:rsidRPr="00F33593" w:rsidRDefault="00FF6E87" w:rsidP="00852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 xml:space="preserve">Kihirdetve: 2020. </w:t>
      </w:r>
      <w:r w:rsidR="00237501" w:rsidRPr="00F33593">
        <w:rPr>
          <w:rFonts w:ascii="Times New Roman" w:hAnsi="Times New Roman" w:cs="Times New Roman"/>
          <w:sz w:val="24"/>
          <w:szCs w:val="24"/>
        </w:rPr>
        <w:t>V</w:t>
      </w:r>
      <w:r w:rsidR="00236641" w:rsidRPr="00F33593">
        <w:rPr>
          <w:rFonts w:ascii="Times New Roman" w:hAnsi="Times New Roman" w:cs="Times New Roman"/>
          <w:sz w:val="24"/>
          <w:szCs w:val="24"/>
        </w:rPr>
        <w:t>I</w:t>
      </w:r>
      <w:r w:rsidR="00BD5D78" w:rsidRPr="00F33593">
        <w:rPr>
          <w:rFonts w:ascii="Times New Roman" w:hAnsi="Times New Roman" w:cs="Times New Roman"/>
          <w:sz w:val="24"/>
          <w:szCs w:val="24"/>
        </w:rPr>
        <w:t>I</w:t>
      </w:r>
      <w:r w:rsidRPr="00F33593">
        <w:rPr>
          <w:rFonts w:ascii="Times New Roman" w:hAnsi="Times New Roman" w:cs="Times New Roman"/>
          <w:sz w:val="24"/>
          <w:szCs w:val="24"/>
        </w:rPr>
        <w:t>.</w:t>
      </w:r>
      <w:r w:rsidR="00653380" w:rsidRPr="00F33593">
        <w:rPr>
          <w:rFonts w:ascii="Times New Roman" w:hAnsi="Times New Roman" w:cs="Times New Roman"/>
          <w:sz w:val="24"/>
          <w:szCs w:val="24"/>
        </w:rPr>
        <w:t>3</w:t>
      </w:r>
      <w:r w:rsidR="00BD5D78" w:rsidRPr="00F33593">
        <w:rPr>
          <w:rFonts w:ascii="Times New Roman" w:hAnsi="Times New Roman" w:cs="Times New Roman"/>
          <w:sz w:val="24"/>
          <w:szCs w:val="24"/>
        </w:rPr>
        <w:t>1</w:t>
      </w:r>
      <w:r w:rsidR="00F3373B" w:rsidRPr="00F33593">
        <w:rPr>
          <w:rFonts w:ascii="Times New Roman" w:hAnsi="Times New Roman" w:cs="Times New Roman"/>
          <w:sz w:val="24"/>
          <w:szCs w:val="24"/>
        </w:rPr>
        <w:t>.</w:t>
      </w:r>
    </w:p>
    <w:p w:rsidR="00F3373B" w:rsidRPr="00F33593" w:rsidRDefault="00F3373B" w:rsidP="00852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D97" w:rsidRPr="00F33593" w:rsidRDefault="00D62D97" w:rsidP="00852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73B" w:rsidRPr="00F33593" w:rsidRDefault="00F3373B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593">
        <w:rPr>
          <w:rFonts w:ascii="Times New Roman" w:hAnsi="Times New Roman" w:cs="Times New Roman"/>
          <w:b/>
          <w:bCs/>
          <w:sz w:val="24"/>
          <w:szCs w:val="24"/>
        </w:rPr>
        <w:t xml:space="preserve">            Dr. </w:t>
      </w:r>
      <w:r w:rsidR="00FF6E87" w:rsidRPr="00F33593">
        <w:rPr>
          <w:rFonts w:ascii="Times New Roman" w:hAnsi="Times New Roman" w:cs="Times New Roman"/>
          <w:b/>
          <w:bCs/>
          <w:sz w:val="24"/>
          <w:szCs w:val="24"/>
        </w:rPr>
        <w:t>Molnár György</w:t>
      </w:r>
    </w:p>
    <w:p w:rsidR="009B44F0" w:rsidRDefault="00516236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593">
        <w:rPr>
          <w:rFonts w:ascii="Times New Roman" w:hAnsi="Times New Roman" w:cs="Times New Roman"/>
          <w:sz w:val="24"/>
          <w:szCs w:val="24"/>
        </w:rPr>
        <w:t xml:space="preserve">        </w:t>
      </w:r>
      <w:r w:rsidR="00FF6E87" w:rsidRPr="00F3359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35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3359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F3373B" w:rsidRPr="00F33593">
        <w:rPr>
          <w:rFonts w:ascii="Times New Roman" w:hAnsi="Times New Roman" w:cs="Times New Roman"/>
          <w:b/>
          <w:bCs/>
          <w:sz w:val="24"/>
          <w:szCs w:val="24"/>
        </w:rPr>
        <w:t>egyző</w:t>
      </w:r>
      <w:proofErr w:type="gramEnd"/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593" w:rsidRPr="00904CDA" w:rsidRDefault="00F33593" w:rsidP="00F33593">
      <w:pPr>
        <w:pStyle w:val="Cmsor2"/>
        <w:jc w:val="right"/>
        <w:rPr>
          <w:sz w:val="36"/>
          <w:szCs w:val="36"/>
        </w:rPr>
      </w:pPr>
      <w:r w:rsidRPr="00904CDA">
        <w:rPr>
          <w:i/>
          <w:iCs/>
        </w:rPr>
        <w:lastRenderedPageBreak/>
        <w:t xml:space="preserve">1. </w:t>
      </w:r>
      <w:proofErr w:type="spellStart"/>
      <w:proofErr w:type="gramStart"/>
      <w:r w:rsidRPr="00904CDA">
        <w:rPr>
          <w:i/>
          <w:iCs/>
        </w:rPr>
        <w:t>melléklet</w:t>
      </w:r>
      <w:proofErr w:type="spellEnd"/>
      <w:proofErr w:type="gramEnd"/>
      <w:r w:rsidRPr="00904CDA">
        <w:rPr>
          <w:i/>
          <w:iCs/>
        </w:rPr>
        <w:t xml:space="preserve"> a </w:t>
      </w:r>
      <w:r w:rsidR="00904CDA">
        <w:rPr>
          <w:i/>
          <w:iCs/>
        </w:rPr>
        <w:t>32</w:t>
      </w:r>
      <w:r w:rsidRPr="00904CDA">
        <w:rPr>
          <w:i/>
          <w:iCs/>
        </w:rPr>
        <w:t>./2020. (VII. 3</w:t>
      </w:r>
      <w:r w:rsidR="00904CDA">
        <w:rPr>
          <w:i/>
          <w:iCs/>
        </w:rPr>
        <w:t>1</w:t>
      </w:r>
      <w:r w:rsidRPr="00904CDA">
        <w:rPr>
          <w:i/>
          <w:iCs/>
        </w:rPr>
        <w:t xml:space="preserve">.) </w:t>
      </w:r>
      <w:proofErr w:type="spellStart"/>
      <w:proofErr w:type="gramStart"/>
      <w:r w:rsidRPr="00904CDA">
        <w:rPr>
          <w:i/>
          <w:iCs/>
        </w:rPr>
        <w:t>önkormányzati</w:t>
      </w:r>
      <w:proofErr w:type="spellEnd"/>
      <w:proofErr w:type="gramEnd"/>
      <w:r w:rsidRPr="00904CDA">
        <w:rPr>
          <w:i/>
          <w:iCs/>
        </w:rPr>
        <w:t xml:space="preserve"> </w:t>
      </w:r>
      <w:proofErr w:type="spellStart"/>
      <w:r w:rsidRPr="00904CDA">
        <w:rPr>
          <w:i/>
          <w:iCs/>
        </w:rPr>
        <w:t>rendelethez</w:t>
      </w:r>
      <w:proofErr w:type="spellEnd"/>
    </w:p>
    <w:p w:rsidR="00F33593" w:rsidRPr="00904CDA" w:rsidRDefault="00F33593" w:rsidP="00F33593">
      <w:pPr>
        <w:ind w:left="426" w:hanging="426"/>
        <w:jc w:val="right"/>
        <w:rPr>
          <w:bCs/>
          <w:color w:val="000000"/>
        </w:rPr>
      </w:pPr>
    </w:p>
    <w:p w:rsidR="00F33593" w:rsidRPr="00904CDA" w:rsidRDefault="00F33593" w:rsidP="00F33593">
      <w:pPr>
        <w:ind w:left="426" w:hanging="426"/>
        <w:rPr>
          <w:bCs/>
          <w:color w:val="000000"/>
        </w:rPr>
      </w:pPr>
      <w:bookmarkStart w:id="0" w:name="_GoBack"/>
      <w:bookmarkEnd w:id="0"/>
    </w:p>
    <w:p w:rsidR="00F33593" w:rsidRDefault="00F33593" w:rsidP="00F33593">
      <w:pPr>
        <w:ind w:left="426" w:hanging="426"/>
        <w:rPr>
          <w:bCs/>
          <w:color w:val="000000"/>
        </w:rPr>
      </w:pPr>
    </w:p>
    <w:p w:rsidR="00F33593" w:rsidRDefault="00F33593" w:rsidP="00F33593">
      <w:pPr>
        <w:pStyle w:val="Listaszerbekezds"/>
        <w:autoSpaceDE w:val="0"/>
        <w:autoSpaceDN w:val="0"/>
        <w:rPr>
          <w:bCs/>
          <w:color w:val="000000"/>
        </w:rPr>
      </w:pPr>
      <w:r>
        <w:rPr>
          <w:b/>
          <w:bCs/>
          <w:color w:val="000000"/>
        </w:rPr>
        <w:t>Gyűjtő utak:</w:t>
      </w:r>
      <w:r>
        <w:rPr>
          <w:bCs/>
          <w:color w:val="000000"/>
        </w:rPr>
        <w:t xml:space="preserve"> </w:t>
      </w:r>
    </w:p>
    <w:p w:rsidR="00F33593" w:rsidRDefault="00F33593" w:rsidP="00F33593">
      <w:pPr>
        <w:pStyle w:val="Listaszerbekezds"/>
        <w:autoSpaceDE w:val="0"/>
        <w:autoSpaceDN w:val="0"/>
      </w:pP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Barátság útja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  <w:rPr>
          <w:sz w:val="24"/>
          <w:szCs w:val="24"/>
        </w:rPr>
      </w:pPr>
      <w:r>
        <w:t>Bartók Béla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Báthory István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Batthyány Elemér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Béke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Berek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Berzsenyi Dániel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Bocskai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Gizella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Gyöngyvirág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proofErr w:type="gramStart"/>
      <w:r>
        <w:t>Határ út</w:t>
      </w:r>
      <w:proofErr w:type="gramEnd"/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Hunyadi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Kápolna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Kazinczy Ferenc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Kistemplom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Klapka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Könyves Kálmán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Liget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Madách Imre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Mátyás Király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Muskátli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Nándori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Nap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Pálya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Radnóti Miklós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Repülőtéri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Sólyom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Széchenyi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Szent István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Szilágyi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Tábor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Temető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Tisza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Toldi Miklós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Tőzegtavi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Váci Mihály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r>
        <w:t>Verseny utca</w:t>
      </w:r>
    </w:p>
    <w:p w:rsidR="00F33593" w:rsidRDefault="00F33593" w:rsidP="00F33593">
      <w:pPr>
        <w:pStyle w:val="Listaszerbekezds"/>
        <w:numPr>
          <w:ilvl w:val="0"/>
          <w:numId w:val="25"/>
        </w:numPr>
        <w:autoSpaceDE w:val="0"/>
        <w:autoSpaceDN w:val="0"/>
        <w:contextualSpacing w:val="0"/>
      </w:pPr>
      <w:proofErr w:type="spellStart"/>
      <w:r>
        <w:t>Zápolya</w:t>
      </w:r>
      <w:proofErr w:type="spellEnd"/>
      <w:r>
        <w:t xml:space="preserve"> utca</w:t>
      </w:r>
    </w:p>
    <w:p w:rsidR="00F33593" w:rsidRDefault="00F33593" w:rsidP="00F33593">
      <w:pPr>
        <w:pStyle w:val="Listaszerbekezds"/>
        <w:numPr>
          <w:ilvl w:val="0"/>
          <w:numId w:val="25"/>
        </w:numPr>
        <w:contextualSpacing w:val="0"/>
      </w:pPr>
      <w:r>
        <w:t>Kiserdő utca</w:t>
      </w:r>
    </w:p>
    <w:p w:rsidR="00F33593" w:rsidRDefault="00F33593" w:rsidP="00F33593">
      <w:pPr>
        <w:pStyle w:val="Listaszerbekezds"/>
        <w:numPr>
          <w:ilvl w:val="0"/>
          <w:numId w:val="25"/>
        </w:numPr>
        <w:contextualSpacing w:val="0"/>
      </w:pPr>
      <w:r>
        <w:t>Rákóczi út</w:t>
      </w:r>
    </w:p>
    <w:p w:rsidR="00F33593" w:rsidRDefault="00F33593" w:rsidP="00F33593">
      <w:pPr>
        <w:ind w:left="426" w:hanging="426"/>
        <w:jc w:val="both"/>
        <w:rPr>
          <w:b/>
          <w:bCs/>
          <w:color w:val="000000"/>
        </w:rPr>
      </w:pPr>
    </w:p>
    <w:p w:rsidR="00F33593" w:rsidRPr="00F33593" w:rsidRDefault="00F33593" w:rsidP="00852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33593" w:rsidRPr="00F3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798"/>
    <w:multiLevelType w:val="hybridMultilevel"/>
    <w:tmpl w:val="045222F0"/>
    <w:lvl w:ilvl="0" w:tplc="D21C07A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50A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95602"/>
    <w:multiLevelType w:val="hybridMultilevel"/>
    <w:tmpl w:val="4D2E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0830B0"/>
    <w:multiLevelType w:val="hybridMultilevel"/>
    <w:tmpl w:val="8C8EB962"/>
    <w:lvl w:ilvl="0" w:tplc="E74A816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36075E"/>
    <w:multiLevelType w:val="hybridMultilevel"/>
    <w:tmpl w:val="FDFAEEA0"/>
    <w:lvl w:ilvl="0" w:tplc="8B76B8FC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C2B61"/>
    <w:multiLevelType w:val="hybridMultilevel"/>
    <w:tmpl w:val="FAA8C962"/>
    <w:lvl w:ilvl="0" w:tplc="C3B8E8D0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61343"/>
    <w:multiLevelType w:val="multilevel"/>
    <w:tmpl w:val="58C8730C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DA7421"/>
    <w:multiLevelType w:val="hybridMultilevel"/>
    <w:tmpl w:val="A822B09A"/>
    <w:lvl w:ilvl="0" w:tplc="B52C08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B681D"/>
    <w:multiLevelType w:val="hybridMultilevel"/>
    <w:tmpl w:val="7FE63C50"/>
    <w:lvl w:ilvl="0" w:tplc="866AF1A2">
      <w:start w:val="1"/>
      <w:numFmt w:val="decimal"/>
      <w:lvlText w:val="(%1)"/>
      <w:lvlJc w:val="left"/>
      <w:pPr>
        <w:ind w:left="720" w:hanging="360"/>
      </w:pPr>
      <w:rPr>
        <w:rFonts w:eastAsiaTheme="minorHAns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64BD8"/>
    <w:multiLevelType w:val="hybridMultilevel"/>
    <w:tmpl w:val="C4241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3008F"/>
    <w:multiLevelType w:val="hybridMultilevel"/>
    <w:tmpl w:val="A99095B2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460042DD"/>
    <w:multiLevelType w:val="multilevel"/>
    <w:tmpl w:val="54F0CB4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70423F2"/>
    <w:multiLevelType w:val="hybridMultilevel"/>
    <w:tmpl w:val="7024B1DC"/>
    <w:lvl w:ilvl="0" w:tplc="58E252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86B20"/>
    <w:multiLevelType w:val="hybridMultilevel"/>
    <w:tmpl w:val="CC70998C"/>
    <w:lvl w:ilvl="0" w:tplc="040E000F">
      <w:start w:val="8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E5A7F"/>
    <w:multiLevelType w:val="hybridMultilevel"/>
    <w:tmpl w:val="24D440A0"/>
    <w:lvl w:ilvl="0" w:tplc="040E000F">
      <w:start w:val="1"/>
      <w:numFmt w:val="decimal"/>
      <w:lvlText w:val="%1."/>
      <w:lvlJc w:val="left"/>
      <w:pPr>
        <w:ind w:left="1005" w:hanging="360"/>
      </w:pPr>
    </w:lvl>
    <w:lvl w:ilvl="1" w:tplc="040E0019">
      <w:start w:val="1"/>
      <w:numFmt w:val="lowerLetter"/>
      <w:lvlText w:val="%2."/>
      <w:lvlJc w:val="left"/>
      <w:pPr>
        <w:ind w:left="1725" w:hanging="360"/>
      </w:pPr>
    </w:lvl>
    <w:lvl w:ilvl="2" w:tplc="040E001B">
      <w:start w:val="1"/>
      <w:numFmt w:val="lowerRoman"/>
      <w:lvlText w:val="%3."/>
      <w:lvlJc w:val="right"/>
      <w:pPr>
        <w:ind w:left="2445" w:hanging="180"/>
      </w:pPr>
    </w:lvl>
    <w:lvl w:ilvl="3" w:tplc="040E000F">
      <w:start w:val="1"/>
      <w:numFmt w:val="decimal"/>
      <w:lvlText w:val="%4."/>
      <w:lvlJc w:val="left"/>
      <w:pPr>
        <w:ind w:left="3165" w:hanging="360"/>
      </w:pPr>
    </w:lvl>
    <w:lvl w:ilvl="4" w:tplc="040E0019">
      <w:start w:val="1"/>
      <w:numFmt w:val="lowerLetter"/>
      <w:lvlText w:val="%5."/>
      <w:lvlJc w:val="left"/>
      <w:pPr>
        <w:ind w:left="3885" w:hanging="360"/>
      </w:pPr>
    </w:lvl>
    <w:lvl w:ilvl="5" w:tplc="040E001B">
      <w:start w:val="1"/>
      <w:numFmt w:val="lowerRoman"/>
      <w:lvlText w:val="%6."/>
      <w:lvlJc w:val="right"/>
      <w:pPr>
        <w:ind w:left="4605" w:hanging="180"/>
      </w:pPr>
    </w:lvl>
    <w:lvl w:ilvl="6" w:tplc="040E000F">
      <w:start w:val="1"/>
      <w:numFmt w:val="decimal"/>
      <w:lvlText w:val="%7."/>
      <w:lvlJc w:val="left"/>
      <w:pPr>
        <w:ind w:left="5325" w:hanging="360"/>
      </w:pPr>
    </w:lvl>
    <w:lvl w:ilvl="7" w:tplc="040E0019">
      <w:start w:val="1"/>
      <w:numFmt w:val="lowerLetter"/>
      <w:lvlText w:val="%8."/>
      <w:lvlJc w:val="left"/>
      <w:pPr>
        <w:ind w:left="6045" w:hanging="360"/>
      </w:pPr>
    </w:lvl>
    <w:lvl w:ilvl="8" w:tplc="040E001B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4BB1084B"/>
    <w:multiLevelType w:val="hybridMultilevel"/>
    <w:tmpl w:val="27FA1BDE"/>
    <w:lvl w:ilvl="0" w:tplc="BA1E9BE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E4331"/>
    <w:multiLevelType w:val="hybridMultilevel"/>
    <w:tmpl w:val="FF6C8A72"/>
    <w:lvl w:ilvl="0" w:tplc="D21C07A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B500D"/>
    <w:multiLevelType w:val="hybridMultilevel"/>
    <w:tmpl w:val="1332A224"/>
    <w:lvl w:ilvl="0" w:tplc="BA1E9BE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D3EFA"/>
    <w:multiLevelType w:val="hybridMultilevel"/>
    <w:tmpl w:val="6BC2867E"/>
    <w:lvl w:ilvl="0" w:tplc="52781C7E">
      <w:start w:val="2"/>
      <w:numFmt w:val="decimal"/>
      <w:lvlText w:val="%1."/>
      <w:lvlJc w:val="left"/>
      <w:pPr>
        <w:ind w:left="2520" w:hanging="360"/>
      </w:pPr>
    </w:lvl>
    <w:lvl w:ilvl="1" w:tplc="040E0019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>
      <w:start w:val="1"/>
      <w:numFmt w:val="decimal"/>
      <w:lvlText w:val="%4."/>
      <w:lvlJc w:val="left"/>
      <w:pPr>
        <w:ind w:left="4680" w:hanging="360"/>
      </w:pPr>
    </w:lvl>
    <w:lvl w:ilvl="4" w:tplc="040E0019">
      <w:start w:val="1"/>
      <w:numFmt w:val="lowerLetter"/>
      <w:lvlText w:val="%5."/>
      <w:lvlJc w:val="left"/>
      <w:pPr>
        <w:ind w:left="5400" w:hanging="360"/>
      </w:pPr>
    </w:lvl>
    <w:lvl w:ilvl="5" w:tplc="040E001B">
      <w:start w:val="1"/>
      <w:numFmt w:val="lowerRoman"/>
      <w:lvlText w:val="%6."/>
      <w:lvlJc w:val="right"/>
      <w:pPr>
        <w:ind w:left="6120" w:hanging="180"/>
      </w:pPr>
    </w:lvl>
    <w:lvl w:ilvl="6" w:tplc="040E000F">
      <w:start w:val="1"/>
      <w:numFmt w:val="decimal"/>
      <w:lvlText w:val="%7."/>
      <w:lvlJc w:val="left"/>
      <w:pPr>
        <w:ind w:left="6840" w:hanging="360"/>
      </w:pPr>
    </w:lvl>
    <w:lvl w:ilvl="7" w:tplc="040E0019">
      <w:start w:val="1"/>
      <w:numFmt w:val="lowerLetter"/>
      <w:lvlText w:val="%8."/>
      <w:lvlJc w:val="left"/>
      <w:pPr>
        <w:ind w:left="7560" w:hanging="360"/>
      </w:pPr>
    </w:lvl>
    <w:lvl w:ilvl="8" w:tplc="040E001B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FFE6285"/>
    <w:multiLevelType w:val="hybridMultilevel"/>
    <w:tmpl w:val="CD1428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F19E6"/>
    <w:multiLevelType w:val="hybridMultilevel"/>
    <w:tmpl w:val="7F58DC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17971"/>
    <w:multiLevelType w:val="hybridMultilevel"/>
    <w:tmpl w:val="94BA38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F42A5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4E5289"/>
    <w:multiLevelType w:val="hybridMultilevel"/>
    <w:tmpl w:val="1332A224"/>
    <w:lvl w:ilvl="0" w:tplc="BA1E9BE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F4A84"/>
    <w:multiLevelType w:val="hybridMultilevel"/>
    <w:tmpl w:val="3C0298B4"/>
    <w:lvl w:ilvl="0" w:tplc="8F680982">
      <w:start w:val="5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3B"/>
    <w:rsid w:val="000D6BD1"/>
    <w:rsid w:val="00152BA0"/>
    <w:rsid w:val="00155091"/>
    <w:rsid w:val="00174E17"/>
    <w:rsid w:val="0019721A"/>
    <w:rsid w:val="00224587"/>
    <w:rsid w:val="00236641"/>
    <w:rsid w:val="00237501"/>
    <w:rsid w:val="002A6E1F"/>
    <w:rsid w:val="002B376A"/>
    <w:rsid w:val="002B473D"/>
    <w:rsid w:val="002B6FAD"/>
    <w:rsid w:val="0036096D"/>
    <w:rsid w:val="0037356E"/>
    <w:rsid w:val="00375165"/>
    <w:rsid w:val="003B061B"/>
    <w:rsid w:val="0044560C"/>
    <w:rsid w:val="0045166E"/>
    <w:rsid w:val="00480968"/>
    <w:rsid w:val="004B7E0C"/>
    <w:rsid w:val="00510B18"/>
    <w:rsid w:val="00516236"/>
    <w:rsid w:val="00527A5E"/>
    <w:rsid w:val="005321D1"/>
    <w:rsid w:val="005972B6"/>
    <w:rsid w:val="005F40C5"/>
    <w:rsid w:val="0060073C"/>
    <w:rsid w:val="00621B3A"/>
    <w:rsid w:val="0064055C"/>
    <w:rsid w:val="00653380"/>
    <w:rsid w:val="0066545E"/>
    <w:rsid w:val="00667431"/>
    <w:rsid w:val="006A33C9"/>
    <w:rsid w:val="007D1C1A"/>
    <w:rsid w:val="00806BE7"/>
    <w:rsid w:val="00852A6C"/>
    <w:rsid w:val="008D10D1"/>
    <w:rsid w:val="008F44EE"/>
    <w:rsid w:val="00904CDA"/>
    <w:rsid w:val="009B44F0"/>
    <w:rsid w:val="009F5628"/>
    <w:rsid w:val="00AB076C"/>
    <w:rsid w:val="00AD7C8A"/>
    <w:rsid w:val="00AF36CE"/>
    <w:rsid w:val="00B32780"/>
    <w:rsid w:val="00B57CC8"/>
    <w:rsid w:val="00B716D3"/>
    <w:rsid w:val="00B97A11"/>
    <w:rsid w:val="00BA5026"/>
    <w:rsid w:val="00BA7D26"/>
    <w:rsid w:val="00BC707E"/>
    <w:rsid w:val="00BD18C3"/>
    <w:rsid w:val="00BD5D78"/>
    <w:rsid w:val="00BF689F"/>
    <w:rsid w:val="00C46184"/>
    <w:rsid w:val="00C605A0"/>
    <w:rsid w:val="00C806A1"/>
    <w:rsid w:val="00CB4A27"/>
    <w:rsid w:val="00CF0598"/>
    <w:rsid w:val="00D35DBB"/>
    <w:rsid w:val="00D62D97"/>
    <w:rsid w:val="00D777E6"/>
    <w:rsid w:val="00DC1365"/>
    <w:rsid w:val="00DC6CD8"/>
    <w:rsid w:val="00E20EDA"/>
    <w:rsid w:val="00E27F96"/>
    <w:rsid w:val="00E31134"/>
    <w:rsid w:val="00EE6204"/>
    <w:rsid w:val="00F33593"/>
    <w:rsid w:val="00F3373B"/>
    <w:rsid w:val="00FE7148"/>
    <w:rsid w:val="00FF61AC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B670"/>
  <w15:chartTrackingRefBased/>
  <w15:docId w15:val="{64D61D55-31A0-4FEA-9434-DEA748EA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semiHidden/>
    <w:unhideWhenUsed/>
    <w:qFormat/>
    <w:rsid w:val="00F33593"/>
    <w:pPr>
      <w:widowControl w:val="0"/>
      <w:spacing w:before="72" w:after="0" w:line="240" w:lineRule="auto"/>
      <w:ind w:left="450"/>
      <w:outlineLvl w:val="1"/>
    </w:pPr>
    <w:rPr>
      <w:rFonts w:ascii="Times New Roman" w:eastAsia="Times New Roman" w:hAnsi="Times New Roman"/>
      <w:b/>
      <w:bCs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D6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6BD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A6E1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2A6E1F"/>
    <w:rPr>
      <w:rFonts w:ascii="Calibri" w:eastAsia="Times New Roman" w:hAnsi="Calibri" w:cs="Times New Roman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2A6E1F"/>
  </w:style>
  <w:style w:type="paragraph" w:styleId="Listaszerbekezds">
    <w:name w:val="List Paragraph"/>
    <w:basedOn w:val="Norml"/>
    <w:link w:val="ListaszerbekezdsChar"/>
    <w:uiPriority w:val="34"/>
    <w:qFormat/>
    <w:rsid w:val="002A6E1F"/>
    <w:pPr>
      <w:spacing w:after="0" w:line="240" w:lineRule="auto"/>
      <w:ind w:left="720"/>
      <w:contextualSpacing/>
    </w:pPr>
  </w:style>
  <w:style w:type="paragraph" w:styleId="Nincstrkz">
    <w:name w:val="No Spacing"/>
    <w:uiPriority w:val="1"/>
    <w:qFormat/>
    <w:rsid w:val="00BD18C3"/>
    <w:pPr>
      <w:spacing w:after="0" w:line="240" w:lineRule="auto"/>
    </w:pPr>
    <w:rPr>
      <w:rFonts w:ascii="Arial Narrow" w:eastAsia="Calibri" w:hAnsi="Arial Narrow"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unhideWhenUsed/>
    <w:rsid w:val="0023750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3750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CF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F05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CF05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D35DBB"/>
  </w:style>
  <w:style w:type="character" w:styleId="Kiemels2">
    <w:name w:val="Strong"/>
    <w:basedOn w:val="Bekezdsalapbettpusa"/>
    <w:qFormat/>
    <w:rsid w:val="00D35DBB"/>
    <w:rPr>
      <w:b/>
      <w:bCs/>
    </w:rPr>
  </w:style>
  <w:style w:type="character" w:styleId="Kiemels">
    <w:name w:val="Emphasis"/>
    <w:basedOn w:val="Bekezdsalapbettpusa"/>
    <w:uiPriority w:val="20"/>
    <w:qFormat/>
    <w:rsid w:val="00D35DBB"/>
    <w:rPr>
      <w:i/>
      <w:iCs/>
    </w:rPr>
  </w:style>
  <w:style w:type="paragraph" w:customStyle="1" w:styleId="FejezetCm">
    <w:name w:val="FejezetCím"/>
    <w:basedOn w:val="Norml"/>
    <w:uiPriority w:val="99"/>
    <w:rsid w:val="00155091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eastAsia="hu-HU"/>
    </w:rPr>
  </w:style>
  <w:style w:type="table" w:customStyle="1" w:styleId="TableGrid">
    <w:name w:val="TableGrid"/>
    <w:rsid w:val="00155091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orml"/>
    <w:uiPriority w:val="99"/>
    <w:rsid w:val="005321D1"/>
    <w:pPr>
      <w:tabs>
        <w:tab w:val="right" w:pos="893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21B3A"/>
    <w:rPr>
      <w:color w:val="0563C1" w:themeColor="hyperlink"/>
      <w:u w:val="single"/>
    </w:rPr>
  </w:style>
  <w:style w:type="paragraph" w:customStyle="1" w:styleId="Szvegtrzs21">
    <w:name w:val="Szövegtörzs 21"/>
    <w:basedOn w:val="Norml"/>
    <w:rsid w:val="00D62D97"/>
    <w:pPr>
      <w:tabs>
        <w:tab w:val="right" w:pos="893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tlus">
    <w:name w:val="Stílus"/>
    <w:rsid w:val="00D62D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076C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076C"/>
    <w:rPr>
      <w:rFonts w:ascii="Calibri" w:eastAsia="Times New Roman" w:hAnsi="Calibri" w:cs="Times New Roman"/>
      <w:sz w:val="20"/>
      <w:szCs w:val="20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rsid w:val="00510B1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510B1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F335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33593"/>
    <w:rPr>
      <w:rFonts w:ascii="Times New Roman" w:eastAsia="Times New Roman" w:hAnsi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737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</dc:creator>
  <cp:keywords/>
  <dc:description/>
  <cp:lastModifiedBy>Forgács Andrea</cp:lastModifiedBy>
  <cp:revision>5</cp:revision>
  <cp:lastPrinted>2020-07-30T15:37:00Z</cp:lastPrinted>
  <dcterms:created xsi:type="dcterms:W3CDTF">2020-07-30T15:37:00Z</dcterms:created>
  <dcterms:modified xsi:type="dcterms:W3CDTF">2020-08-03T14:30:00Z</dcterms:modified>
</cp:coreProperties>
</file>